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02C2" w14:textId="18A184F3" w:rsidR="00031770" w:rsidRPr="00031770" w:rsidRDefault="000D7469" w:rsidP="00031770">
      <w:pPr>
        <w:spacing w:after="0" w:line="240" w:lineRule="auto"/>
        <w:jc w:val="center"/>
        <w:rPr>
          <w:b/>
          <w:bCs/>
        </w:rPr>
      </w:pPr>
      <w:r w:rsidRPr="00031770">
        <w:rPr>
          <w:b/>
          <w:bCs/>
        </w:rPr>
        <w:t xml:space="preserve">ATTACHMENT </w:t>
      </w:r>
      <w:r w:rsidR="00031770" w:rsidRPr="00031770">
        <w:rPr>
          <w:b/>
          <w:bCs/>
        </w:rPr>
        <w:t>E</w:t>
      </w:r>
      <w:r>
        <w:rPr>
          <w:b/>
          <w:bCs/>
        </w:rPr>
        <w:t xml:space="preserve"> - </w:t>
      </w:r>
      <w:r w:rsidR="00031770" w:rsidRPr="00031770">
        <w:rPr>
          <w:b/>
          <w:bCs/>
        </w:rPr>
        <w:t>CMS Certification Outcomes</w:t>
      </w:r>
      <w:r w:rsidR="00CC51A6">
        <w:rPr>
          <w:b/>
          <w:bCs/>
        </w:rPr>
        <w:t xml:space="preserve"> &amp; Metrics</w:t>
      </w:r>
    </w:p>
    <w:p w14:paraId="7D3E2165" w14:textId="6BEB85BE" w:rsidR="000D7469" w:rsidRPr="000D7469" w:rsidRDefault="000D7469" w:rsidP="000D7469">
      <w:pPr>
        <w:spacing w:after="0"/>
        <w:jc w:val="center"/>
        <w:rPr>
          <w:b/>
          <w:bCs/>
        </w:rPr>
      </w:pPr>
      <w:r w:rsidRPr="00074647">
        <w:rPr>
          <w:b/>
          <w:bCs/>
        </w:rPr>
        <w:t>RFP #</w:t>
      </w:r>
      <w:r w:rsidR="00EC38C9" w:rsidRPr="00EC38C9">
        <w:rPr>
          <w:b/>
          <w:bCs/>
        </w:rPr>
        <w:t>124528 ON</w:t>
      </w:r>
    </w:p>
    <w:p w14:paraId="53941840" w14:textId="77777777" w:rsidR="000D7469" w:rsidRPr="000D7469" w:rsidRDefault="000D7469" w:rsidP="000D7469">
      <w:pPr>
        <w:spacing w:after="0"/>
        <w:jc w:val="center"/>
        <w:rPr>
          <w:b/>
          <w:bCs/>
        </w:rPr>
      </w:pPr>
      <w:r w:rsidRPr="000D7469">
        <w:rPr>
          <w:b/>
          <w:bCs/>
        </w:rPr>
        <w:t>Medicaid Drug Rebate (MDR) System</w:t>
      </w:r>
    </w:p>
    <w:p w14:paraId="73733320" w14:textId="77777777" w:rsidR="000D7469" w:rsidRDefault="000D7469" w:rsidP="000D7469">
      <w:pPr>
        <w:spacing w:after="0"/>
        <w:jc w:val="center"/>
        <w:rPr>
          <w:b/>
          <w:bCs/>
        </w:rPr>
      </w:pPr>
      <w:r w:rsidRPr="000D7469">
        <w:rPr>
          <w:b/>
          <w:bCs/>
        </w:rPr>
        <w:t>State of Nebraska, Department of Health and Human Services</w:t>
      </w:r>
    </w:p>
    <w:p w14:paraId="6876A6E6" w14:textId="77777777" w:rsidR="0039100C" w:rsidRPr="0039100C" w:rsidRDefault="0039100C" w:rsidP="000D7469">
      <w:pPr>
        <w:spacing w:after="0"/>
        <w:jc w:val="center"/>
        <w:rPr>
          <w:b/>
          <w:bCs/>
          <w:sz w:val="12"/>
          <w:szCs w:val="12"/>
        </w:rPr>
      </w:pPr>
    </w:p>
    <w:p w14:paraId="7B8C9A64" w14:textId="0638E958" w:rsidR="0039100C" w:rsidRPr="0039100C" w:rsidRDefault="0039100C" w:rsidP="0039100C">
      <w:pPr>
        <w:spacing w:after="0"/>
      </w:pPr>
      <w:r w:rsidRPr="0039100C">
        <w:t xml:space="preserve">Please reference </w:t>
      </w:r>
      <w:hyperlink r:id="rId8" w:history="1">
        <w:r w:rsidR="001571AE" w:rsidRPr="001571AE">
          <w:rPr>
            <w:rStyle w:val="Hyperlink"/>
          </w:rPr>
          <w:t>MES Certification Repository</w:t>
        </w:r>
      </w:hyperlink>
      <w:r w:rsidR="001571AE">
        <w:t>.</w:t>
      </w:r>
    </w:p>
    <w:tbl>
      <w:tblPr>
        <w:tblStyle w:val="TableGrid"/>
        <w:tblW w:w="11250" w:type="dxa"/>
        <w:tblInd w:w="-365" w:type="dxa"/>
        <w:tblLook w:val="04A0" w:firstRow="1" w:lastRow="0" w:firstColumn="1" w:lastColumn="0" w:noHBand="0" w:noVBand="1"/>
      </w:tblPr>
      <w:tblGrid>
        <w:gridCol w:w="1268"/>
        <w:gridCol w:w="3775"/>
        <w:gridCol w:w="2159"/>
        <w:gridCol w:w="4048"/>
      </w:tblGrid>
      <w:tr w:rsidR="00283E4C" w14:paraId="086D3DBC" w14:textId="77777777" w:rsidTr="00283E4C">
        <w:tc>
          <w:tcPr>
            <w:tcW w:w="1268" w:type="dxa"/>
            <w:shd w:val="clear" w:color="auto" w:fill="215E99" w:themeFill="text2" w:themeFillTint="BF"/>
          </w:tcPr>
          <w:p w14:paraId="04F7D347" w14:textId="77777777" w:rsidR="00031770" w:rsidRPr="00283E4C" w:rsidRDefault="00031770" w:rsidP="00031770">
            <w:pPr>
              <w:jc w:val="center"/>
              <w:rPr>
                <w:b/>
                <w:bCs/>
                <w:color w:val="FFFFFF" w:themeColor="background1"/>
                <w:sz w:val="22"/>
                <w:szCs w:val="22"/>
              </w:rPr>
            </w:pPr>
            <w:r w:rsidRPr="00283E4C">
              <w:rPr>
                <w:b/>
                <w:bCs/>
                <w:color w:val="FFFFFF" w:themeColor="background1"/>
                <w:sz w:val="22"/>
                <w:szCs w:val="22"/>
              </w:rPr>
              <w:t>Outcome Reference #</w:t>
            </w:r>
          </w:p>
        </w:tc>
        <w:tc>
          <w:tcPr>
            <w:tcW w:w="3775" w:type="dxa"/>
            <w:shd w:val="clear" w:color="auto" w:fill="215E99" w:themeFill="text2" w:themeFillTint="BF"/>
          </w:tcPr>
          <w:p w14:paraId="3270ED90" w14:textId="77777777" w:rsidR="00031770" w:rsidRPr="00283E4C" w:rsidRDefault="00031770" w:rsidP="00031770">
            <w:pPr>
              <w:jc w:val="center"/>
              <w:rPr>
                <w:b/>
                <w:bCs/>
                <w:color w:val="FFFFFF" w:themeColor="background1"/>
                <w:sz w:val="22"/>
                <w:szCs w:val="22"/>
              </w:rPr>
            </w:pPr>
            <w:r w:rsidRPr="00283E4C">
              <w:rPr>
                <w:b/>
                <w:bCs/>
                <w:color w:val="FFFFFF" w:themeColor="background1"/>
                <w:sz w:val="22"/>
                <w:szCs w:val="22"/>
              </w:rPr>
              <w:t>Outcome Description</w:t>
            </w:r>
          </w:p>
        </w:tc>
        <w:tc>
          <w:tcPr>
            <w:tcW w:w="2159" w:type="dxa"/>
            <w:shd w:val="clear" w:color="auto" w:fill="215E99" w:themeFill="text2" w:themeFillTint="BF"/>
          </w:tcPr>
          <w:p w14:paraId="31566B94" w14:textId="7806248B" w:rsidR="00031770" w:rsidRPr="00283E4C" w:rsidRDefault="00031770" w:rsidP="00031770">
            <w:pPr>
              <w:jc w:val="center"/>
              <w:rPr>
                <w:b/>
                <w:bCs/>
                <w:color w:val="FFFFFF" w:themeColor="background1"/>
                <w:sz w:val="22"/>
                <w:szCs w:val="22"/>
              </w:rPr>
            </w:pPr>
            <w:r w:rsidRPr="00283E4C">
              <w:rPr>
                <w:b/>
                <w:bCs/>
                <w:color w:val="FFFFFF" w:themeColor="background1"/>
                <w:sz w:val="22"/>
                <w:szCs w:val="22"/>
              </w:rPr>
              <w:t>CMS Required Regulatory Source(s) or State Specific</w:t>
            </w:r>
          </w:p>
        </w:tc>
        <w:tc>
          <w:tcPr>
            <w:tcW w:w="4048" w:type="dxa"/>
            <w:shd w:val="clear" w:color="auto" w:fill="215E99" w:themeFill="text2" w:themeFillTint="BF"/>
          </w:tcPr>
          <w:p w14:paraId="5B69E46E" w14:textId="77777777" w:rsidR="00031770" w:rsidRPr="00283E4C" w:rsidRDefault="00031770" w:rsidP="00031770">
            <w:pPr>
              <w:jc w:val="center"/>
              <w:rPr>
                <w:b/>
                <w:bCs/>
                <w:color w:val="FFFFFF" w:themeColor="background1"/>
                <w:sz w:val="22"/>
                <w:szCs w:val="22"/>
              </w:rPr>
            </w:pPr>
            <w:r w:rsidRPr="00283E4C">
              <w:rPr>
                <w:b/>
                <w:bCs/>
                <w:color w:val="FFFFFF" w:themeColor="background1"/>
                <w:sz w:val="22"/>
                <w:szCs w:val="22"/>
              </w:rPr>
              <w:t>Outcome Applicability</w:t>
            </w:r>
          </w:p>
        </w:tc>
      </w:tr>
      <w:tr w:rsidR="004B4A18" w:rsidRPr="00283E4C" w14:paraId="05B5B8E8" w14:textId="77777777" w:rsidTr="00283E4C">
        <w:tc>
          <w:tcPr>
            <w:tcW w:w="1268" w:type="dxa"/>
            <w:tcBorders>
              <w:top w:val="single" w:sz="4" w:space="0" w:color="auto"/>
              <w:left w:val="single" w:sz="4" w:space="0" w:color="auto"/>
              <w:bottom w:val="single" w:sz="4" w:space="0" w:color="auto"/>
              <w:right w:val="single" w:sz="4" w:space="0" w:color="auto"/>
            </w:tcBorders>
            <w:vAlign w:val="bottom"/>
          </w:tcPr>
          <w:p w14:paraId="3B1CAAD5" w14:textId="77777777" w:rsidR="00283E4C" w:rsidRDefault="00283E4C" w:rsidP="000D7469">
            <w:pPr>
              <w:jc w:val="both"/>
              <w:rPr>
                <w:rFonts w:ascii="Aptos Narrow" w:hAnsi="Aptos Narrow"/>
                <w:color w:val="000000"/>
                <w:sz w:val="22"/>
                <w:szCs w:val="22"/>
              </w:rPr>
            </w:pPr>
          </w:p>
          <w:p w14:paraId="07D6D547" w14:textId="77777777" w:rsidR="00283E4C" w:rsidRDefault="00283E4C" w:rsidP="000D7469">
            <w:pPr>
              <w:jc w:val="both"/>
              <w:rPr>
                <w:rFonts w:ascii="Aptos Narrow" w:hAnsi="Aptos Narrow"/>
                <w:color w:val="000000"/>
                <w:sz w:val="22"/>
                <w:szCs w:val="22"/>
              </w:rPr>
            </w:pPr>
          </w:p>
          <w:p w14:paraId="17E59B2E" w14:textId="77777777" w:rsidR="00283E4C" w:rsidRDefault="00283E4C" w:rsidP="000D7469">
            <w:pPr>
              <w:jc w:val="both"/>
              <w:rPr>
                <w:rFonts w:ascii="Aptos Narrow" w:hAnsi="Aptos Narrow"/>
                <w:color w:val="000000"/>
                <w:sz w:val="22"/>
                <w:szCs w:val="22"/>
              </w:rPr>
            </w:pPr>
          </w:p>
          <w:p w14:paraId="479735AB"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PBM03</w:t>
            </w:r>
          </w:p>
          <w:p w14:paraId="0F2C75DD" w14:textId="77777777" w:rsidR="00283E4C" w:rsidRDefault="00283E4C" w:rsidP="000D7469">
            <w:pPr>
              <w:jc w:val="both"/>
              <w:rPr>
                <w:rFonts w:ascii="Aptos Narrow" w:hAnsi="Aptos Narrow"/>
                <w:color w:val="000000"/>
                <w:sz w:val="22"/>
                <w:szCs w:val="22"/>
              </w:rPr>
            </w:pPr>
          </w:p>
          <w:p w14:paraId="50BEA1C2" w14:textId="77777777" w:rsidR="00283E4C" w:rsidRDefault="00283E4C" w:rsidP="000D7469">
            <w:pPr>
              <w:jc w:val="both"/>
              <w:rPr>
                <w:rFonts w:ascii="Aptos Narrow" w:hAnsi="Aptos Narrow"/>
                <w:color w:val="000000"/>
                <w:sz w:val="22"/>
                <w:szCs w:val="22"/>
              </w:rPr>
            </w:pPr>
          </w:p>
          <w:p w14:paraId="76439ECF" w14:textId="77777777" w:rsidR="00283E4C" w:rsidRDefault="00283E4C" w:rsidP="000D7469">
            <w:pPr>
              <w:jc w:val="both"/>
              <w:rPr>
                <w:rFonts w:ascii="Aptos Narrow" w:hAnsi="Aptos Narrow"/>
                <w:color w:val="000000"/>
                <w:sz w:val="22"/>
                <w:szCs w:val="22"/>
              </w:rPr>
            </w:pPr>
          </w:p>
          <w:p w14:paraId="61E60CBE" w14:textId="57C0BB7D" w:rsidR="00283E4C" w:rsidRPr="00283E4C" w:rsidRDefault="00283E4C" w:rsidP="000D7469">
            <w:pPr>
              <w:jc w:val="both"/>
              <w:rPr>
                <w:sz w:val="22"/>
                <w:szCs w:val="22"/>
              </w:rPr>
            </w:pPr>
          </w:p>
        </w:tc>
        <w:tc>
          <w:tcPr>
            <w:tcW w:w="3775" w:type="dxa"/>
            <w:tcBorders>
              <w:top w:val="single" w:sz="4" w:space="0" w:color="auto"/>
              <w:left w:val="single" w:sz="4" w:space="0" w:color="auto"/>
              <w:bottom w:val="single" w:sz="4" w:space="0" w:color="auto"/>
              <w:right w:val="single" w:sz="4" w:space="0" w:color="auto"/>
            </w:tcBorders>
            <w:vAlign w:val="bottom"/>
          </w:tcPr>
          <w:p w14:paraId="3F071D49" w14:textId="25A5E7CC" w:rsidR="00283E4C" w:rsidRDefault="004B4A18" w:rsidP="000D7469">
            <w:pPr>
              <w:jc w:val="both"/>
              <w:rPr>
                <w:rFonts w:ascii="Aptos Narrow" w:hAnsi="Aptos Narrow"/>
                <w:color w:val="000000"/>
                <w:sz w:val="22"/>
                <w:szCs w:val="22"/>
              </w:rPr>
            </w:pPr>
            <w:r w:rsidRPr="00283E4C">
              <w:rPr>
                <w:rFonts w:ascii="Aptos Narrow" w:hAnsi="Aptos Narrow"/>
                <w:color w:val="000000"/>
                <w:sz w:val="22"/>
                <w:szCs w:val="22"/>
              </w:rPr>
              <w:t>The system captures the necessary data to ensure timely processing of manufacturer rebates as well as the capability to track rebates to promote beneficiary cost savings.</w:t>
            </w:r>
          </w:p>
          <w:p w14:paraId="583E7EAC" w14:textId="77777777" w:rsidR="00283E4C" w:rsidRDefault="00283E4C" w:rsidP="000D7469">
            <w:pPr>
              <w:jc w:val="both"/>
              <w:rPr>
                <w:rFonts w:ascii="Aptos Narrow" w:hAnsi="Aptos Narrow"/>
                <w:color w:val="000000"/>
                <w:sz w:val="22"/>
                <w:szCs w:val="22"/>
              </w:rPr>
            </w:pPr>
          </w:p>
          <w:p w14:paraId="5183BEBF" w14:textId="15CAFEE9" w:rsidR="00283E4C" w:rsidRPr="00283E4C" w:rsidRDefault="00283E4C" w:rsidP="000D7469">
            <w:pPr>
              <w:jc w:val="both"/>
              <w:rPr>
                <w:sz w:val="22"/>
                <w:szCs w:val="22"/>
              </w:rPr>
            </w:pPr>
          </w:p>
        </w:tc>
        <w:tc>
          <w:tcPr>
            <w:tcW w:w="2159" w:type="dxa"/>
            <w:tcBorders>
              <w:top w:val="single" w:sz="4" w:space="0" w:color="auto"/>
              <w:left w:val="single" w:sz="4" w:space="0" w:color="auto"/>
              <w:bottom w:val="single" w:sz="4" w:space="0" w:color="auto"/>
              <w:right w:val="single" w:sz="4" w:space="0" w:color="auto"/>
            </w:tcBorders>
            <w:vAlign w:val="bottom"/>
          </w:tcPr>
          <w:p w14:paraId="5182CEB9" w14:textId="4B8A6948" w:rsidR="00283E4C"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Section 1927 of the SSA</w:t>
            </w:r>
            <w:r w:rsidRPr="00283E4C">
              <w:rPr>
                <w:rFonts w:ascii="Aptos Narrow" w:hAnsi="Aptos Narrow"/>
                <w:color w:val="000000"/>
                <w:sz w:val="22"/>
                <w:szCs w:val="22"/>
              </w:rPr>
              <w:br/>
              <w:t>42 CFR 447.509</w:t>
            </w:r>
          </w:p>
          <w:p w14:paraId="44112FE4" w14:textId="77777777" w:rsidR="00283E4C" w:rsidRDefault="00283E4C" w:rsidP="000D7469">
            <w:pPr>
              <w:jc w:val="both"/>
              <w:rPr>
                <w:rFonts w:ascii="Aptos Narrow" w:hAnsi="Aptos Narrow"/>
                <w:color w:val="000000"/>
                <w:sz w:val="22"/>
                <w:szCs w:val="22"/>
              </w:rPr>
            </w:pPr>
          </w:p>
          <w:p w14:paraId="288806D8" w14:textId="77777777" w:rsidR="00283E4C" w:rsidRDefault="00283E4C" w:rsidP="000D7469">
            <w:pPr>
              <w:jc w:val="both"/>
              <w:rPr>
                <w:rFonts w:ascii="Aptos Narrow" w:hAnsi="Aptos Narrow"/>
                <w:color w:val="000000"/>
                <w:sz w:val="22"/>
                <w:szCs w:val="22"/>
              </w:rPr>
            </w:pPr>
          </w:p>
          <w:p w14:paraId="6A55B344" w14:textId="77777777" w:rsidR="00283E4C" w:rsidRDefault="00283E4C" w:rsidP="000D7469">
            <w:pPr>
              <w:jc w:val="both"/>
              <w:rPr>
                <w:rFonts w:ascii="Aptos Narrow" w:hAnsi="Aptos Narrow"/>
                <w:color w:val="000000"/>
                <w:sz w:val="22"/>
                <w:szCs w:val="22"/>
              </w:rPr>
            </w:pPr>
          </w:p>
          <w:p w14:paraId="46398A8A" w14:textId="0F1BD9BF" w:rsidR="00283E4C" w:rsidRPr="00283E4C" w:rsidRDefault="00283E4C" w:rsidP="000D7469">
            <w:pPr>
              <w:jc w:val="both"/>
              <w:rPr>
                <w:sz w:val="22"/>
                <w:szCs w:val="22"/>
              </w:rPr>
            </w:pPr>
          </w:p>
        </w:tc>
        <w:tc>
          <w:tcPr>
            <w:tcW w:w="4048" w:type="dxa"/>
            <w:tcBorders>
              <w:top w:val="single" w:sz="4" w:space="0" w:color="auto"/>
              <w:left w:val="single" w:sz="4" w:space="0" w:color="auto"/>
              <w:bottom w:val="single" w:sz="4" w:space="0" w:color="auto"/>
              <w:right w:val="single" w:sz="4" w:space="0" w:color="auto"/>
            </w:tcBorders>
            <w:vAlign w:val="bottom"/>
          </w:tcPr>
          <w:p w14:paraId="77774442"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 xml:space="preserve">PBM03 is applicable to this module. The Medicaid Drug Rebate system captures the necessary data to ensure timely processing of manufacturer rebates as well as the capability to track rebates to offset beneficiary expenditures. </w:t>
            </w:r>
          </w:p>
          <w:p w14:paraId="2884B237" w14:textId="6B0049A2" w:rsidR="00283E4C" w:rsidRPr="00283E4C" w:rsidRDefault="00283E4C" w:rsidP="000D7469">
            <w:pPr>
              <w:jc w:val="both"/>
              <w:rPr>
                <w:sz w:val="22"/>
                <w:szCs w:val="22"/>
              </w:rPr>
            </w:pPr>
          </w:p>
        </w:tc>
      </w:tr>
      <w:tr w:rsidR="004B4A18" w:rsidRPr="00283E4C" w14:paraId="082C626E" w14:textId="77777777" w:rsidTr="00283E4C">
        <w:tc>
          <w:tcPr>
            <w:tcW w:w="1268" w:type="dxa"/>
            <w:tcBorders>
              <w:top w:val="nil"/>
              <w:left w:val="single" w:sz="4" w:space="0" w:color="auto"/>
              <w:bottom w:val="single" w:sz="4" w:space="0" w:color="auto"/>
              <w:right w:val="single" w:sz="4" w:space="0" w:color="auto"/>
            </w:tcBorders>
            <w:vAlign w:val="bottom"/>
          </w:tcPr>
          <w:p w14:paraId="27AFACF8"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PBM04</w:t>
            </w:r>
          </w:p>
          <w:p w14:paraId="137C1641" w14:textId="77777777" w:rsidR="00283E4C" w:rsidRDefault="00283E4C" w:rsidP="000D7469">
            <w:pPr>
              <w:jc w:val="both"/>
              <w:rPr>
                <w:rFonts w:ascii="Aptos Narrow" w:hAnsi="Aptos Narrow"/>
                <w:color w:val="000000"/>
                <w:sz w:val="22"/>
                <w:szCs w:val="22"/>
              </w:rPr>
            </w:pPr>
          </w:p>
          <w:p w14:paraId="1C7456D4" w14:textId="77777777" w:rsidR="00283E4C" w:rsidRDefault="00283E4C" w:rsidP="000D7469">
            <w:pPr>
              <w:jc w:val="both"/>
              <w:rPr>
                <w:rFonts w:ascii="Aptos Narrow" w:hAnsi="Aptos Narrow"/>
                <w:color w:val="000000"/>
                <w:sz w:val="22"/>
                <w:szCs w:val="22"/>
              </w:rPr>
            </w:pPr>
          </w:p>
          <w:p w14:paraId="7A4E6189" w14:textId="77777777" w:rsidR="00283E4C" w:rsidRDefault="00283E4C" w:rsidP="000D7469">
            <w:pPr>
              <w:jc w:val="both"/>
              <w:rPr>
                <w:rFonts w:ascii="Aptos Narrow" w:hAnsi="Aptos Narrow"/>
                <w:color w:val="000000"/>
                <w:sz w:val="22"/>
                <w:szCs w:val="22"/>
              </w:rPr>
            </w:pPr>
          </w:p>
          <w:p w14:paraId="3346C501" w14:textId="77777777" w:rsidR="00283E4C" w:rsidRDefault="00283E4C" w:rsidP="000D7469">
            <w:pPr>
              <w:jc w:val="both"/>
              <w:rPr>
                <w:rFonts w:ascii="Aptos Narrow" w:hAnsi="Aptos Narrow"/>
                <w:color w:val="000000"/>
                <w:sz w:val="22"/>
                <w:szCs w:val="22"/>
              </w:rPr>
            </w:pPr>
          </w:p>
          <w:p w14:paraId="2783565A" w14:textId="50143ACC"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2BC0FC90" w14:textId="77777777" w:rsidR="00283E4C" w:rsidRDefault="00283E4C" w:rsidP="000D7469">
            <w:pPr>
              <w:jc w:val="both"/>
              <w:rPr>
                <w:rFonts w:ascii="Aptos Narrow" w:hAnsi="Aptos Narrow"/>
                <w:color w:val="000000"/>
                <w:sz w:val="22"/>
                <w:szCs w:val="22"/>
              </w:rPr>
            </w:pPr>
          </w:p>
          <w:p w14:paraId="14D800C1" w14:textId="68BA3B86" w:rsidR="00283E4C" w:rsidRDefault="004B4A18" w:rsidP="000D7469">
            <w:pPr>
              <w:jc w:val="both"/>
              <w:rPr>
                <w:rFonts w:ascii="Aptos Narrow" w:hAnsi="Aptos Narrow"/>
                <w:color w:val="000000"/>
                <w:sz w:val="22"/>
                <w:szCs w:val="22"/>
              </w:rPr>
            </w:pPr>
            <w:r w:rsidRPr="00283E4C">
              <w:rPr>
                <w:rFonts w:ascii="Aptos Narrow" w:hAnsi="Aptos Narrow"/>
                <w:color w:val="000000"/>
                <w:sz w:val="22"/>
                <w:szCs w:val="22"/>
              </w:rPr>
              <w:t xml:space="preserve">The system has the capability to support cost savings by capturing, storing, and transferring data to the payment process system to generate invoices </w:t>
            </w:r>
            <w:proofErr w:type="gramStart"/>
            <w:r w:rsidRPr="00283E4C">
              <w:rPr>
                <w:rFonts w:ascii="Aptos Narrow" w:hAnsi="Aptos Narrow"/>
                <w:color w:val="000000"/>
                <w:sz w:val="22"/>
                <w:szCs w:val="22"/>
              </w:rPr>
              <w:t>of</w:t>
            </w:r>
            <w:proofErr w:type="gramEnd"/>
            <w:r w:rsidRPr="00283E4C">
              <w:rPr>
                <w:rFonts w:ascii="Aptos Narrow" w:hAnsi="Aptos Narrow"/>
                <w:color w:val="000000"/>
                <w:sz w:val="22"/>
                <w:szCs w:val="22"/>
              </w:rPr>
              <w:t xml:space="preserve"> participating drug manufacturers within 60 days of the end of each quarter. </w:t>
            </w:r>
          </w:p>
          <w:p w14:paraId="7F84F238" w14:textId="77777777" w:rsidR="00283E4C" w:rsidRDefault="00283E4C" w:rsidP="000D7469">
            <w:pPr>
              <w:jc w:val="both"/>
              <w:rPr>
                <w:rFonts w:ascii="Aptos Narrow" w:hAnsi="Aptos Narrow"/>
                <w:color w:val="000000"/>
                <w:sz w:val="22"/>
                <w:szCs w:val="22"/>
              </w:rPr>
            </w:pPr>
          </w:p>
          <w:p w14:paraId="74948BC4" w14:textId="27A1EDCA" w:rsidR="00283E4C" w:rsidRPr="00283E4C" w:rsidRDefault="00283E4C" w:rsidP="000D7469">
            <w:pPr>
              <w:jc w:val="both"/>
              <w:rPr>
                <w:sz w:val="22"/>
                <w:szCs w:val="22"/>
              </w:rPr>
            </w:pPr>
          </w:p>
        </w:tc>
        <w:tc>
          <w:tcPr>
            <w:tcW w:w="2159" w:type="dxa"/>
            <w:tcBorders>
              <w:top w:val="nil"/>
              <w:left w:val="single" w:sz="4" w:space="0" w:color="auto"/>
              <w:bottom w:val="single" w:sz="4" w:space="0" w:color="auto"/>
              <w:right w:val="single" w:sz="4" w:space="0" w:color="auto"/>
            </w:tcBorders>
            <w:vAlign w:val="bottom"/>
          </w:tcPr>
          <w:p w14:paraId="7203F5E5" w14:textId="17F5D4B0" w:rsidR="00283E4C"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Section 1927 of the SSA</w:t>
            </w:r>
            <w:r w:rsidRPr="00283E4C">
              <w:rPr>
                <w:rFonts w:ascii="Aptos Narrow" w:hAnsi="Aptos Narrow"/>
                <w:color w:val="000000"/>
                <w:sz w:val="22"/>
                <w:szCs w:val="22"/>
              </w:rPr>
              <w:br/>
              <w:t>42 CFR 447.520</w:t>
            </w:r>
            <w:r w:rsidRPr="00283E4C">
              <w:rPr>
                <w:rFonts w:ascii="Aptos Narrow" w:hAnsi="Aptos Narrow"/>
                <w:color w:val="000000"/>
                <w:sz w:val="22"/>
                <w:szCs w:val="22"/>
              </w:rPr>
              <w:br/>
              <w:t>Section 1927(b)(2) of the SSA</w:t>
            </w:r>
            <w:r w:rsidRPr="00283E4C">
              <w:rPr>
                <w:rFonts w:ascii="Aptos Narrow" w:hAnsi="Aptos Narrow"/>
                <w:color w:val="000000"/>
                <w:sz w:val="22"/>
                <w:szCs w:val="22"/>
              </w:rPr>
              <w:br/>
              <w:t>42 CFR 447.511</w:t>
            </w:r>
          </w:p>
          <w:p w14:paraId="399A291E" w14:textId="77777777" w:rsidR="00283E4C" w:rsidRDefault="00283E4C" w:rsidP="000D7469">
            <w:pPr>
              <w:jc w:val="both"/>
              <w:rPr>
                <w:rFonts w:ascii="Aptos Narrow" w:hAnsi="Aptos Narrow"/>
                <w:color w:val="000000"/>
                <w:sz w:val="22"/>
                <w:szCs w:val="22"/>
              </w:rPr>
            </w:pPr>
          </w:p>
          <w:p w14:paraId="01C2CC94" w14:textId="3A7D35CD" w:rsidR="00283E4C" w:rsidRPr="00283E4C" w:rsidRDefault="00283E4C" w:rsidP="000D7469">
            <w:pPr>
              <w:jc w:val="both"/>
              <w:rPr>
                <w:sz w:val="22"/>
                <w:szCs w:val="22"/>
              </w:rPr>
            </w:pPr>
          </w:p>
        </w:tc>
        <w:tc>
          <w:tcPr>
            <w:tcW w:w="4048" w:type="dxa"/>
            <w:tcBorders>
              <w:top w:val="nil"/>
              <w:left w:val="single" w:sz="4" w:space="0" w:color="auto"/>
              <w:bottom w:val="single" w:sz="4" w:space="0" w:color="auto"/>
              <w:right w:val="single" w:sz="4" w:space="0" w:color="auto"/>
            </w:tcBorders>
            <w:vAlign w:val="bottom"/>
          </w:tcPr>
          <w:p w14:paraId="6C714156" w14:textId="23229F86"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 xml:space="preserve">PBM04 is applicable to this module. The Medicaid Drug Rebate system supports cost savings by capturing, storing, and transferring data to the payment process system to generate invoices of participating drug manufacturers </w:t>
            </w:r>
            <w:proofErr w:type="gramStart"/>
            <w:r w:rsidRPr="00283E4C">
              <w:rPr>
                <w:rFonts w:ascii="Aptos Narrow" w:hAnsi="Aptos Narrow"/>
                <w:color w:val="000000"/>
                <w:sz w:val="22"/>
                <w:szCs w:val="22"/>
              </w:rPr>
              <w:t>within</w:t>
            </w:r>
            <w:r w:rsidR="001E4A75">
              <w:rPr>
                <w:rFonts w:ascii="Aptos Narrow" w:hAnsi="Aptos Narrow"/>
                <w:color w:val="000000"/>
                <w:sz w:val="22"/>
                <w:szCs w:val="22"/>
              </w:rPr>
              <w:t xml:space="preserve"> </w:t>
            </w:r>
            <w:r w:rsidRPr="00283E4C">
              <w:rPr>
                <w:rFonts w:ascii="Aptos Narrow" w:hAnsi="Aptos Narrow"/>
                <w:color w:val="000000"/>
                <w:sz w:val="22"/>
                <w:szCs w:val="22"/>
              </w:rPr>
              <w:t xml:space="preserve"> 60</w:t>
            </w:r>
            <w:proofErr w:type="gramEnd"/>
            <w:r w:rsidRPr="00283E4C">
              <w:rPr>
                <w:rFonts w:ascii="Aptos Narrow" w:hAnsi="Aptos Narrow"/>
                <w:color w:val="000000"/>
                <w:sz w:val="22"/>
                <w:szCs w:val="22"/>
              </w:rPr>
              <w:t xml:space="preserve"> days </w:t>
            </w:r>
            <w:r w:rsidR="001E4A75">
              <w:rPr>
                <w:rFonts w:ascii="Aptos Narrow" w:hAnsi="Aptos Narrow"/>
                <w:color w:val="000000"/>
                <w:sz w:val="22"/>
                <w:szCs w:val="22"/>
              </w:rPr>
              <w:t>at</w:t>
            </w:r>
            <w:r w:rsidRPr="00283E4C">
              <w:rPr>
                <w:rFonts w:ascii="Aptos Narrow" w:hAnsi="Aptos Narrow"/>
                <w:color w:val="000000"/>
                <w:sz w:val="22"/>
                <w:szCs w:val="22"/>
              </w:rPr>
              <w:t xml:space="preserve"> the end of each quarter.</w:t>
            </w:r>
          </w:p>
          <w:p w14:paraId="292EEC4F" w14:textId="226B17FC" w:rsidR="00283E4C" w:rsidRPr="00283E4C" w:rsidRDefault="00283E4C" w:rsidP="000D7469">
            <w:pPr>
              <w:jc w:val="both"/>
              <w:rPr>
                <w:sz w:val="22"/>
                <w:szCs w:val="22"/>
              </w:rPr>
            </w:pPr>
          </w:p>
        </w:tc>
      </w:tr>
      <w:tr w:rsidR="004B4A18" w:rsidRPr="00283E4C" w14:paraId="22F2C6AD" w14:textId="77777777" w:rsidTr="00283E4C">
        <w:tc>
          <w:tcPr>
            <w:tcW w:w="1268" w:type="dxa"/>
            <w:tcBorders>
              <w:top w:val="nil"/>
              <w:left w:val="single" w:sz="4" w:space="0" w:color="auto"/>
              <w:bottom w:val="single" w:sz="4" w:space="0" w:color="auto"/>
              <w:right w:val="single" w:sz="4" w:space="0" w:color="auto"/>
            </w:tcBorders>
            <w:vAlign w:val="bottom"/>
          </w:tcPr>
          <w:p w14:paraId="381116E1"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PBM05</w:t>
            </w:r>
          </w:p>
          <w:p w14:paraId="6EE32D77" w14:textId="77777777" w:rsidR="00283E4C" w:rsidRDefault="00283E4C" w:rsidP="000D7469">
            <w:pPr>
              <w:jc w:val="both"/>
              <w:rPr>
                <w:rFonts w:ascii="Aptos Narrow" w:hAnsi="Aptos Narrow"/>
                <w:color w:val="000000"/>
                <w:sz w:val="22"/>
                <w:szCs w:val="22"/>
              </w:rPr>
            </w:pPr>
          </w:p>
          <w:p w14:paraId="614D4630" w14:textId="77777777" w:rsidR="00283E4C" w:rsidRDefault="00283E4C" w:rsidP="000D7469">
            <w:pPr>
              <w:jc w:val="both"/>
              <w:rPr>
                <w:rFonts w:ascii="Aptos Narrow" w:hAnsi="Aptos Narrow"/>
                <w:color w:val="000000"/>
                <w:sz w:val="22"/>
                <w:szCs w:val="22"/>
              </w:rPr>
            </w:pPr>
          </w:p>
          <w:p w14:paraId="1BBF57E7" w14:textId="77777777" w:rsidR="00283E4C" w:rsidRDefault="00283E4C" w:rsidP="000D7469">
            <w:pPr>
              <w:jc w:val="both"/>
              <w:rPr>
                <w:rFonts w:ascii="Aptos Narrow" w:hAnsi="Aptos Narrow"/>
                <w:color w:val="000000"/>
                <w:sz w:val="22"/>
                <w:szCs w:val="22"/>
              </w:rPr>
            </w:pPr>
          </w:p>
          <w:p w14:paraId="29C8C445" w14:textId="332089A3"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771CBB65" w14:textId="4CED1C22" w:rsidR="00283E4C" w:rsidRDefault="004B4A18" w:rsidP="000D7469">
            <w:pPr>
              <w:jc w:val="both"/>
              <w:rPr>
                <w:rFonts w:ascii="Aptos Narrow" w:hAnsi="Aptos Narrow"/>
                <w:color w:val="000000"/>
                <w:sz w:val="22"/>
                <w:szCs w:val="22"/>
              </w:rPr>
            </w:pPr>
            <w:r w:rsidRPr="00283E4C">
              <w:rPr>
                <w:rFonts w:ascii="Aptos Narrow" w:hAnsi="Aptos Narrow"/>
                <w:color w:val="000000"/>
                <w:sz w:val="22"/>
                <w:szCs w:val="22"/>
              </w:rPr>
              <w:t>The system supports cost savings by enabling the tracking, monitoring, and reporting of manufacturer's pharmacy drugs and rebate savings.</w:t>
            </w:r>
          </w:p>
          <w:p w14:paraId="62A3E96A" w14:textId="77777777" w:rsidR="00283E4C" w:rsidRDefault="00283E4C" w:rsidP="000D7469">
            <w:pPr>
              <w:jc w:val="both"/>
              <w:rPr>
                <w:rFonts w:ascii="Aptos Narrow" w:hAnsi="Aptos Narrow"/>
                <w:color w:val="000000"/>
                <w:sz w:val="22"/>
                <w:szCs w:val="22"/>
              </w:rPr>
            </w:pPr>
          </w:p>
          <w:p w14:paraId="161E4849" w14:textId="0A2C1A41" w:rsidR="00283E4C" w:rsidRPr="00283E4C" w:rsidRDefault="00283E4C" w:rsidP="000D7469">
            <w:pPr>
              <w:jc w:val="both"/>
              <w:rPr>
                <w:sz w:val="22"/>
                <w:szCs w:val="22"/>
              </w:rPr>
            </w:pPr>
          </w:p>
        </w:tc>
        <w:tc>
          <w:tcPr>
            <w:tcW w:w="2159" w:type="dxa"/>
            <w:tcBorders>
              <w:top w:val="nil"/>
              <w:left w:val="single" w:sz="4" w:space="0" w:color="auto"/>
              <w:bottom w:val="single" w:sz="4" w:space="0" w:color="auto"/>
              <w:right w:val="single" w:sz="4" w:space="0" w:color="auto"/>
            </w:tcBorders>
            <w:vAlign w:val="bottom"/>
          </w:tcPr>
          <w:p w14:paraId="0C0F25BD"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Section 1927 of the SSA</w:t>
            </w:r>
            <w:r w:rsidRPr="00283E4C">
              <w:rPr>
                <w:rFonts w:ascii="Aptos Narrow" w:hAnsi="Aptos Narrow"/>
                <w:color w:val="000000"/>
                <w:sz w:val="22"/>
                <w:szCs w:val="22"/>
              </w:rPr>
              <w:br/>
              <w:t>42 CFR 447.520</w:t>
            </w:r>
            <w:r w:rsidRPr="00283E4C">
              <w:rPr>
                <w:rFonts w:ascii="Aptos Narrow" w:hAnsi="Aptos Narrow"/>
                <w:color w:val="000000"/>
                <w:sz w:val="22"/>
                <w:szCs w:val="22"/>
              </w:rPr>
              <w:br/>
              <w:t>Section 1927(b)(2) of the SSA</w:t>
            </w:r>
            <w:r w:rsidRPr="00283E4C">
              <w:rPr>
                <w:rFonts w:ascii="Aptos Narrow" w:hAnsi="Aptos Narrow"/>
                <w:color w:val="000000"/>
                <w:sz w:val="22"/>
                <w:szCs w:val="22"/>
              </w:rPr>
              <w:br/>
              <w:t>42 CFR 447.511</w:t>
            </w:r>
          </w:p>
          <w:p w14:paraId="22C7DB5C" w14:textId="7085C2E6" w:rsidR="00283E4C" w:rsidRPr="00283E4C" w:rsidRDefault="00283E4C" w:rsidP="000D7469">
            <w:pPr>
              <w:jc w:val="both"/>
              <w:rPr>
                <w:sz w:val="22"/>
                <w:szCs w:val="22"/>
              </w:rPr>
            </w:pPr>
          </w:p>
        </w:tc>
        <w:tc>
          <w:tcPr>
            <w:tcW w:w="4048" w:type="dxa"/>
            <w:tcBorders>
              <w:top w:val="nil"/>
              <w:left w:val="single" w:sz="4" w:space="0" w:color="auto"/>
              <w:bottom w:val="single" w:sz="4" w:space="0" w:color="auto"/>
              <w:right w:val="single" w:sz="4" w:space="0" w:color="auto"/>
            </w:tcBorders>
            <w:vAlign w:val="bottom"/>
          </w:tcPr>
          <w:p w14:paraId="0B48D0CA"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PBM05 is applicable to this module. The Medicaid Drug Rebate system supports cost savings by enabling the tracking, monitoring, and reporting of manufacturer's pharmacy drugs and rebate savings.</w:t>
            </w:r>
          </w:p>
          <w:p w14:paraId="68370CCB" w14:textId="2DAA04A2" w:rsidR="00283E4C" w:rsidRPr="00283E4C" w:rsidRDefault="00283E4C" w:rsidP="000D7469">
            <w:pPr>
              <w:jc w:val="both"/>
              <w:rPr>
                <w:sz w:val="22"/>
                <w:szCs w:val="22"/>
              </w:rPr>
            </w:pPr>
          </w:p>
        </w:tc>
      </w:tr>
      <w:tr w:rsidR="004B4A18" w:rsidRPr="00283E4C" w14:paraId="4E55138F" w14:textId="77777777" w:rsidTr="00283E4C">
        <w:tc>
          <w:tcPr>
            <w:tcW w:w="1268" w:type="dxa"/>
            <w:tcBorders>
              <w:top w:val="nil"/>
              <w:left w:val="single" w:sz="4" w:space="0" w:color="auto"/>
              <w:bottom w:val="single" w:sz="4" w:space="0" w:color="auto"/>
              <w:right w:val="single" w:sz="4" w:space="0" w:color="auto"/>
            </w:tcBorders>
            <w:vAlign w:val="bottom"/>
          </w:tcPr>
          <w:p w14:paraId="42F414C6"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FM07</w:t>
            </w:r>
          </w:p>
          <w:p w14:paraId="7BDEC3EC" w14:textId="77777777" w:rsidR="00283E4C" w:rsidRDefault="00283E4C" w:rsidP="000D7469">
            <w:pPr>
              <w:jc w:val="both"/>
              <w:rPr>
                <w:rFonts w:ascii="Aptos Narrow" w:hAnsi="Aptos Narrow"/>
                <w:color w:val="000000"/>
                <w:sz w:val="22"/>
                <w:szCs w:val="22"/>
              </w:rPr>
            </w:pPr>
          </w:p>
          <w:p w14:paraId="56BCA926" w14:textId="024D10C7"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5D3DFAA4"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The system processes drug rebates accurately and quickly.</w:t>
            </w:r>
          </w:p>
          <w:p w14:paraId="0651F8B0" w14:textId="77777777" w:rsidR="00283E4C" w:rsidRDefault="00283E4C" w:rsidP="000D7469">
            <w:pPr>
              <w:jc w:val="both"/>
              <w:rPr>
                <w:rFonts w:ascii="Aptos Narrow" w:hAnsi="Aptos Narrow"/>
                <w:color w:val="000000"/>
                <w:sz w:val="22"/>
                <w:szCs w:val="22"/>
              </w:rPr>
            </w:pPr>
          </w:p>
          <w:p w14:paraId="1EB1E987" w14:textId="58F7E81C" w:rsidR="00283E4C" w:rsidRPr="00283E4C" w:rsidRDefault="00283E4C" w:rsidP="000D7469">
            <w:pPr>
              <w:jc w:val="both"/>
              <w:rPr>
                <w:sz w:val="22"/>
                <w:szCs w:val="22"/>
              </w:rPr>
            </w:pPr>
          </w:p>
        </w:tc>
        <w:tc>
          <w:tcPr>
            <w:tcW w:w="2159" w:type="dxa"/>
            <w:tcBorders>
              <w:top w:val="nil"/>
              <w:left w:val="single" w:sz="4" w:space="0" w:color="auto"/>
              <w:bottom w:val="single" w:sz="4" w:space="0" w:color="auto"/>
              <w:right w:val="single" w:sz="4" w:space="0" w:color="auto"/>
            </w:tcBorders>
            <w:vAlign w:val="bottom"/>
          </w:tcPr>
          <w:p w14:paraId="53BB8CBC"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42 CFR 447.509</w:t>
            </w:r>
          </w:p>
          <w:p w14:paraId="3B852757" w14:textId="77777777" w:rsidR="00283E4C" w:rsidRDefault="00283E4C" w:rsidP="000D7469">
            <w:pPr>
              <w:jc w:val="both"/>
              <w:rPr>
                <w:rFonts w:ascii="Aptos Narrow" w:hAnsi="Aptos Narrow"/>
                <w:color w:val="000000"/>
                <w:sz w:val="22"/>
                <w:szCs w:val="22"/>
              </w:rPr>
            </w:pPr>
          </w:p>
          <w:p w14:paraId="6CD8E53B" w14:textId="77777777" w:rsidR="00283E4C" w:rsidRDefault="00283E4C" w:rsidP="000D7469">
            <w:pPr>
              <w:jc w:val="both"/>
              <w:rPr>
                <w:rFonts w:ascii="Aptos Narrow" w:hAnsi="Aptos Narrow"/>
                <w:color w:val="000000"/>
                <w:sz w:val="22"/>
                <w:szCs w:val="22"/>
              </w:rPr>
            </w:pPr>
          </w:p>
          <w:p w14:paraId="2A58A7E7" w14:textId="5692F20E" w:rsidR="00283E4C" w:rsidRPr="00283E4C" w:rsidRDefault="00283E4C" w:rsidP="000D7469">
            <w:pPr>
              <w:jc w:val="both"/>
              <w:rPr>
                <w:sz w:val="22"/>
                <w:szCs w:val="22"/>
              </w:rPr>
            </w:pPr>
          </w:p>
        </w:tc>
        <w:tc>
          <w:tcPr>
            <w:tcW w:w="4048" w:type="dxa"/>
            <w:tcBorders>
              <w:top w:val="nil"/>
              <w:left w:val="single" w:sz="4" w:space="0" w:color="auto"/>
              <w:bottom w:val="single" w:sz="4" w:space="0" w:color="auto"/>
              <w:right w:val="single" w:sz="4" w:space="0" w:color="auto"/>
            </w:tcBorders>
            <w:vAlign w:val="bottom"/>
          </w:tcPr>
          <w:p w14:paraId="28974E9F"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FM07 is applicable to this module. The Medicaid Drug Rebate system processes drug rebates accurately and quickly.</w:t>
            </w:r>
          </w:p>
          <w:p w14:paraId="262E03D0" w14:textId="6E808D1F" w:rsidR="00283E4C" w:rsidRPr="00283E4C" w:rsidRDefault="00283E4C" w:rsidP="000D7469">
            <w:pPr>
              <w:jc w:val="both"/>
              <w:rPr>
                <w:sz w:val="22"/>
                <w:szCs w:val="22"/>
              </w:rPr>
            </w:pPr>
          </w:p>
        </w:tc>
      </w:tr>
      <w:tr w:rsidR="00283E4C" w:rsidRPr="00283E4C" w14:paraId="78E20D66" w14:textId="77777777" w:rsidTr="00283E4C">
        <w:tc>
          <w:tcPr>
            <w:tcW w:w="1268" w:type="dxa"/>
            <w:tcBorders>
              <w:top w:val="nil"/>
              <w:left w:val="single" w:sz="4" w:space="0" w:color="auto"/>
              <w:bottom w:val="single" w:sz="4" w:space="0" w:color="auto"/>
              <w:right w:val="single" w:sz="4" w:space="0" w:color="auto"/>
            </w:tcBorders>
            <w:vAlign w:val="bottom"/>
          </w:tcPr>
          <w:p w14:paraId="69EDCD20"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STPBM01</w:t>
            </w:r>
          </w:p>
          <w:p w14:paraId="30DC3C5A" w14:textId="61895E9C"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0C0415A6" w14:textId="3990525D" w:rsidR="004B4A18" w:rsidRPr="00283E4C" w:rsidRDefault="004B4A18" w:rsidP="000D7469">
            <w:pPr>
              <w:jc w:val="both"/>
              <w:rPr>
                <w:sz w:val="22"/>
                <w:szCs w:val="22"/>
              </w:rPr>
            </w:pPr>
            <w:r w:rsidRPr="00283E4C">
              <w:rPr>
                <w:rFonts w:ascii="Aptos Narrow" w:hAnsi="Aptos Narrow"/>
                <w:color w:val="000000"/>
                <w:sz w:val="22"/>
                <w:szCs w:val="22"/>
              </w:rPr>
              <w:t xml:space="preserve">Timely access to Drug Rebate invoices through a web portal. </w:t>
            </w:r>
          </w:p>
        </w:tc>
        <w:tc>
          <w:tcPr>
            <w:tcW w:w="2159" w:type="dxa"/>
          </w:tcPr>
          <w:p w14:paraId="13BF49B0" w14:textId="4E4055F1" w:rsidR="004B4A18" w:rsidRPr="00283E4C" w:rsidRDefault="004B4A18" w:rsidP="000D7469">
            <w:pPr>
              <w:jc w:val="both"/>
              <w:rPr>
                <w:sz w:val="22"/>
                <w:szCs w:val="22"/>
              </w:rPr>
            </w:pPr>
            <w:r w:rsidRPr="00283E4C">
              <w:rPr>
                <w:sz w:val="22"/>
                <w:szCs w:val="22"/>
              </w:rPr>
              <w:t>State Specific</w:t>
            </w:r>
          </w:p>
        </w:tc>
        <w:tc>
          <w:tcPr>
            <w:tcW w:w="4048" w:type="dxa"/>
          </w:tcPr>
          <w:p w14:paraId="2C7AAA3F" w14:textId="0965AD09" w:rsidR="004B4A18" w:rsidRPr="00283E4C" w:rsidRDefault="00283E4C" w:rsidP="000D7469">
            <w:pPr>
              <w:jc w:val="both"/>
              <w:rPr>
                <w:sz w:val="22"/>
                <w:szCs w:val="22"/>
              </w:rPr>
            </w:pPr>
            <w:r>
              <w:rPr>
                <w:sz w:val="22"/>
                <w:szCs w:val="22"/>
              </w:rPr>
              <w:t xml:space="preserve">Applicable </w:t>
            </w:r>
          </w:p>
        </w:tc>
      </w:tr>
      <w:tr w:rsidR="004B4A18" w:rsidRPr="00283E4C" w14:paraId="65156F3C" w14:textId="77777777" w:rsidTr="00283E4C">
        <w:tc>
          <w:tcPr>
            <w:tcW w:w="1268" w:type="dxa"/>
            <w:tcBorders>
              <w:top w:val="nil"/>
              <w:left w:val="single" w:sz="4" w:space="0" w:color="auto"/>
              <w:bottom w:val="single" w:sz="4" w:space="0" w:color="auto"/>
              <w:right w:val="single" w:sz="4" w:space="0" w:color="auto"/>
            </w:tcBorders>
            <w:vAlign w:val="bottom"/>
          </w:tcPr>
          <w:p w14:paraId="57700835" w14:textId="6DFF68FA" w:rsidR="004B4A18" w:rsidRPr="00283E4C" w:rsidRDefault="004B4A18" w:rsidP="000D7469">
            <w:pPr>
              <w:jc w:val="both"/>
              <w:rPr>
                <w:sz w:val="22"/>
                <w:szCs w:val="22"/>
              </w:rPr>
            </w:pPr>
            <w:r w:rsidRPr="00283E4C">
              <w:rPr>
                <w:rFonts w:ascii="Aptos Narrow" w:hAnsi="Aptos Narrow"/>
                <w:color w:val="000000"/>
                <w:sz w:val="22"/>
                <w:szCs w:val="22"/>
              </w:rPr>
              <w:t>STPBM02</w:t>
            </w:r>
          </w:p>
        </w:tc>
        <w:tc>
          <w:tcPr>
            <w:tcW w:w="3775" w:type="dxa"/>
            <w:tcBorders>
              <w:top w:val="nil"/>
              <w:left w:val="single" w:sz="4" w:space="0" w:color="auto"/>
              <w:bottom w:val="single" w:sz="4" w:space="0" w:color="auto"/>
              <w:right w:val="single" w:sz="4" w:space="0" w:color="auto"/>
            </w:tcBorders>
            <w:vAlign w:val="bottom"/>
          </w:tcPr>
          <w:p w14:paraId="7FF7C080" w14:textId="70B48B9B" w:rsidR="004B4A18" w:rsidRPr="00283E4C" w:rsidRDefault="004B4A18" w:rsidP="000D7469">
            <w:pPr>
              <w:jc w:val="both"/>
              <w:rPr>
                <w:sz w:val="22"/>
                <w:szCs w:val="22"/>
              </w:rPr>
            </w:pPr>
            <w:r w:rsidRPr="00283E4C">
              <w:rPr>
                <w:rFonts w:ascii="Aptos Narrow" w:hAnsi="Aptos Narrow"/>
                <w:color w:val="000000"/>
                <w:sz w:val="22"/>
                <w:szCs w:val="22"/>
              </w:rPr>
              <w:t xml:space="preserve">Improved dispute resolution process. </w:t>
            </w:r>
          </w:p>
        </w:tc>
        <w:tc>
          <w:tcPr>
            <w:tcW w:w="2159" w:type="dxa"/>
          </w:tcPr>
          <w:p w14:paraId="5EA0FA3D" w14:textId="69FF2744" w:rsidR="004B4A18" w:rsidRPr="00283E4C" w:rsidRDefault="004B4A18" w:rsidP="000D7469">
            <w:pPr>
              <w:jc w:val="both"/>
              <w:rPr>
                <w:sz w:val="22"/>
                <w:szCs w:val="22"/>
              </w:rPr>
            </w:pPr>
            <w:r w:rsidRPr="00283E4C">
              <w:rPr>
                <w:sz w:val="22"/>
                <w:szCs w:val="22"/>
              </w:rPr>
              <w:t>State Specific</w:t>
            </w:r>
          </w:p>
        </w:tc>
        <w:tc>
          <w:tcPr>
            <w:tcW w:w="4048" w:type="dxa"/>
          </w:tcPr>
          <w:p w14:paraId="60ACED38" w14:textId="6F503645" w:rsidR="004B4A18" w:rsidRPr="00283E4C" w:rsidRDefault="004B4A18" w:rsidP="000D7469">
            <w:pPr>
              <w:jc w:val="both"/>
              <w:rPr>
                <w:sz w:val="22"/>
                <w:szCs w:val="22"/>
              </w:rPr>
            </w:pPr>
            <w:r w:rsidRPr="00283E4C">
              <w:rPr>
                <w:sz w:val="22"/>
                <w:szCs w:val="22"/>
              </w:rPr>
              <w:t>Applicable</w:t>
            </w:r>
          </w:p>
        </w:tc>
      </w:tr>
      <w:tr w:rsidR="004B4A18" w:rsidRPr="00283E4C" w14:paraId="1E690FFE" w14:textId="77777777" w:rsidTr="00283E4C">
        <w:tc>
          <w:tcPr>
            <w:tcW w:w="1268" w:type="dxa"/>
            <w:tcBorders>
              <w:top w:val="nil"/>
              <w:left w:val="single" w:sz="4" w:space="0" w:color="auto"/>
              <w:bottom w:val="single" w:sz="4" w:space="0" w:color="auto"/>
              <w:right w:val="single" w:sz="4" w:space="0" w:color="auto"/>
            </w:tcBorders>
            <w:vAlign w:val="bottom"/>
          </w:tcPr>
          <w:p w14:paraId="63F04F88"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STPBM03</w:t>
            </w:r>
          </w:p>
          <w:p w14:paraId="1AC28CC9" w14:textId="7A6B3BA6"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349FAA00" w14:textId="3F5D2708" w:rsidR="004B4A18" w:rsidRPr="00283E4C" w:rsidRDefault="004B4A18" w:rsidP="000D7469">
            <w:pPr>
              <w:jc w:val="both"/>
              <w:rPr>
                <w:sz w:val="22"/>
                <w:szCs w:val="22"/>
              </w:rPr>
            </w:pPr>
            <w:r w:rsidRPr="00283E4C">
              <w:rPr>
                <w:rFonts w:ascii="Aptos Narrow" w:hAnsi="Aptos Narrow"/>
                <w:color w:val="000000"/>
                <w:sz w:val="22"/>
                <w:szCs w:val="22"/>
              </w:rPr>
              <w:t>Portal provides a manufacturer self</w:t>
            </w:r>
            <w:proofErr w:type="gramStart"/>
            <w:r w:rsidR="00283E4C">
              <w:rPr>
                <w:rFonts w:ascii="Aptos Narrow" w:hAnsi="Aptos Narrow"/>
                <w:color w:val="000000"/>
                <w:sz w:val="22"/>
                <w:szCs w:val="22"/>
              </w:rPr>
              <w:t>-</w:t>
            </w:r>
            <w:r w:rsidRPr="00283E4C">
              <w:rPr>
                <w:rFonts w:ascii="Aptos Narrow" w:hAnsi="Aptos Narrow"/>
                <w:color w:val="000000"/>
                <w:sz w:val="22"/>
                <w:szCs w:val="22"/>
              </w:rPr>
              <w:t xml:space="preserve"> service</w:t>
            </w:r>
            <w:proofErr w:type="gramEnd"/>
            <w:r w:rsidRPr="00283E4C">
              <w:rPr>
                <w:rFonts w:ascii="Aptos Narrow" w:hAnsi="Aptos Narrow"/>
                <w:color w:val="000000"/>
                <w:sz w:val="22"/>
                <w:szCs w:val="22"/>
              </w:rPr>
              <w:t xml:space="preserve"> option. </w:t>
            </w:r>
          </w:p>
        </w:tc>
        <w:tc>
          <w:tcPr>
            <w:tcW w:w="2159" w:type="dxa"/>
          </w:tcPr>
          <w:p w14:paraId="6C499791" w14:textId="7C923BE8" w:rsidR="004B4A18" w:rsidRPr="00283E4C" w:rsidRDefault="004B4A18" w:rsidP="000D7469">
            <w:pPr>
              <w:jc w:val="both"/>
              <w:rPr>
                <w:sz w:val="22"/>
                <w:szCs w:val="22"/>
              </w:rPr>
            </w:pPr>
            <w:r w:rsidRPr="00283E4C">
              <w:rPr>
                <w:sz w:val="22"/>
                <w:szCs w:val="22"/>
              </w:rPr>
              <w:t>State Specific</w:t>
            </w:r>
          </w:p>
        </w:tc>
        <w:tc>
          <w:tcPr>
            <w:tcW w:w="4048" w:type="dxa"/>
          </w:tcPr>
          <w:p w14:paraId="5E488026" w14:textId="71430B58" w:rsidR="004B4A18" w:rsidRPr="00283E4C" w:rsidRDefault="004B4A18" w:rsidP="000D7469">
            <w:pPr>
              <w:jc w:val="both"/>
              <w:rPr>
                <w:sz w:val="22"/>
                <w:szCs w:val="22"/>
              </w:rPr>
            </w:pPr>
            <w:r w:rsidRPr="00283E4C">
              <w:rPr>
                <w:sz w:val="22"/>
                <w:szCs w:val="22"/>
              </w:rPr>
              <w:t>Applicable</w:t>
            </w:r>
          </w:p>
        </w:tc>
      </w:tr>
      <w:tr w:rsidR="004B4A18" w:rsidRPr="00283E4C" w14:paraId="7EF64FD0" w14:textId="77777777" w:rsidTr="00283E4C">
        <w:trPr>
          <w:trHeight w:val="1538"/>
        </w:trPr>
        <w:tc>
          <w:tcPr>
            <w:tcW w:w="1268" w:type="dxa"/>
            <w:tcBorders>
              <w:top w:val="nil"/>
              <w:left w:val="single" w:sz="4" w:space="0" w:color="auto"/>
              <w:bottom w:val="single" w:sz="4" w:space="0" w:color="auto"/>
              <w:right w:val="single" w:sz="4" w:space="0" w:color="auto"/>
            </w:tcBorders>
            <w:vAlign w:val="bottom"/>
          </w:tcPr>
          <w:p w14:paraId="20F6B700"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STPBM04</w:t>
            </w:r>
          </w:p>
          <w:p w14:paraId="7E9FB3C9" w14:textId="77777777" w:rsidR="00283E4C" w:rsidRDefault="00283E4C" w:rsidP="000D7469">
            <w:pPr>
              <w:jc w:val="both"/>
              <w:rPr>
                <w:rFonts w:ascii="Aptos Narrow" w:hAnsi="Aptos Narrow"/>
                <w:color w:val="000000"/>
                <w:sz w:val="22"/>
                <w:szCs w:val="22"/>
              </w:rPr>
            </w:pPr>
          </w:p>
          <w:p w14:paraId="3D40A8C5" w14:textId="77777777" w:rsidR="00283E4C" w:rsidRDefault="00283E4C" w:rsidP="000D7469">
            <w:pPr>
              <w:jc w:val="both"/>
              <w:rPr>
                <w:rFonts w:ascii="Aptos Narrow" w:hAnsi="Aptos Narrow"/>
                <w:color w:val="000000"/>
                <w:sz w:val="22"/>
                <w:szCs w:val="22"/>
              </w:rPr>
            </w:pPr>
          </w:p>
          <w:p w14:paraId="5F7A1155" w14:textId="7EDC40D1" w:rsidR="00283E4C" w:rsidRPr="00283E4C" w:rsidRDefault="00283E4C" w:rsidP="000D7469">
            <w:pPr>
              <w:jc w:val="both"/>
              <w:rPr>
                <w:sz w:val="22"/>
                <w:szCs w:val="22"/>
              </w:rPr>
            </w:pPr>
          </w:p>
        </w:tc>
        <w:tc>
          <w:tcPr>
            <w:tcW w:w="3775" w:type="dxa"/>
            <w:tcBorders>
              <w:top w:val="nil"/>
              <w:left w:val="single" w:sz="4" w:space="0" w:color="auto"/>
              <w:bottom w:val="single" w:sz="4" w:space="0" w:color="auto"/>
              <w:right w:val="single" w:sz="4" w:space="0" w:color="auto"/>
            </w:tcBorders>
            <w:vAlign w:val="bottom"/>
          </w:tcPr>
          <w:p w14:paraId="253F3D72" w14:textId="77777777" w:rsidR="004B4A18" w:rsidRDefault="004B4A18" w:rsidP="000D7469">
            <w:pPr>
              <w:jc w:val="both"/>
              <w:rPr>
                <w:rFonts w:ascii="Aptos Narrow" w:hAnsi="Aptos Narrow"/>
                <w:color w:val="000000"/>
                <w:sz w:val="22"/>
                <w:szCs w:val="22"/>
              </w:rPr>
            </w:pPr>
            <w:r w:rsidRPr="00283E4C">
              <w:rPr>
                <w:rFonts w:ascii="Aptos Narrow" w:hAnsi="Aptos Narrow"/>
                <w:color w:val="000000"/>
                <w:sz w:val="22"/>
                <w:szCs w:val="22"/>
              </w:rPr>
              <w:t xml:space="preserve">The system facilitates enhanced quality assurance capabilities to ensure accurate drug rebate invoicing. </w:t>
            </w:r>
          </w:p>
          <w:p w14:paraId="5745D11D" w14:textId="77777777" w:rsidR="00283E4C" w:rsidRDefault="00283E4C" w:rsidP="000D7469">
            <w:pPr>
              <w:jc w:val="both"/>
              <w:rPr>
                <w:sz w:val="22"/>
                <w:szCs w:val="22"/>
              </w:rPr>
            </w:pPr>
          </w:p>
          <w:p w14:paraId="68F7C451" w14:textId="518B5346" w:rsidR="00283E4C" w:rsidRPr="00283E4C" w:rsidRDefault="00283E4C" w:rsidP="000D7469">
            <w:pPr>
              <w:jc w:val="both"/>
              <w:rPr>
                <w:sz w:val="22"/>
                <w:szCs w:val="22"/>
              </w:rPr>
            </w:pPr>
          </w:p>
        </w:tc>
        <w:tc>
          <w:tcPr>
            <w:tcW w:w="2159" w:type="dxa"/>
          </w:tcPr>
          <w:p w14:paraId="7EC4AD75" w14:textId="77777777" w:rsidR="00283E4C" w:rsidRDefault="00283E4C" w:rsidP="000D7469">
            <w:pPr>
              <w:jc w:val="both"/>
              <w:rPr>
                <w:sz w:val="22"/>
                <w:szCs w:val="22"/>
              </w:rPr>
            </w:pPr>
          </w:p>
          <w:p w14:paraId="4A55485E" w14:textId="77777777" w:rsidR="00283E4C" w:rsidRDefault="00283E4C" w:rsidP="000D7469">
            <w:pPr>
              <w:jc w:val="both"/>
              <w:rPr>
                <w:sz w:val="22"/>
                <w:szCs w:val="22"/>
              </w:rPr>
            </w:pPr>
          </w:p>
          <w:p w14:paraId="04333A7C" w14:textId="5A3F52B8" w:rsidR="004B4A18" w:rsidRPr="00283E4C" w:rsidRDefault="004B4A18" w:rsidP="000D7469">
            <w:pPr>
              <w:jc w:val="both"/>
              <w:rPr>
                <w:sz w:val="22"/>
                <w:szCs w:val="22"/>
              </w:rPr>
            </w:pPr>
            <w:r w:rsidRPr="00283E4C">
              <w:rPr>
                <w:sz w:val="22"/>
                <w:szCs w:val="22"/>
              </w:rPr>
              <w:t>State Specific</w:t>
            </w:r>
          </w:p>
        </w:tc>
        <w:tc>
          <w:tcPr>
            <w:tcW w:w="4048" w:type="dxa"/>
          </w:tcPr>
          <w:p w14:paraId="7C964D78" w14:textId="77777777" w:rsidR="00283E4C" w:rsidRDefault="00283E4C" w:rsidP="000D7469">
            <w:pPr>
              <w:jc w:val="both"/>
              <w:rPr>
                <w:sz w:val="22"/>
                <w:szCs w:val="22"/>
              </w:rPr>
            </w:pPr>
          </w:p>
          <w:p w14:paraId="4A8CE7A7" w14:textId="77777777" w:rsidR="00283E4C" w:rsidRDefault="00283E4C" w:rsidP="000D7469">
            <w:pPr>
              <w:jc w:val="both"/>
              <w:rPr>
                <w:sz w:val="22"/>
                <w:szCs w:val="22"/>
              </w:rPr>
            </w:pPr>
          </w:p>
          <w:p w14:paraId="3C575F78" w14:textId="2D26F4DF" w:rsidR="004B4A18" w:rsidRPr="00283E4C" w:rsidRDefault="004B4A18" w:rsidP="000D7469">
            <w:pPr>
              <w:jc w:val="both"/>
              <w:rPr>
                <w:sz w:val="22"/>
                <w:szCs w:val="22"/>
              </w:rPr>
            </w:pPr>
            <w:r w:rsidRPr="00283E4C">
              <w:rPr>
                <w:sz w:val="22"/>
                <w:szCs w:val="22"/>
              </w:rPr>
              <w:t>Applicable</w:t>
            </w:r>
          </w:p>
        </w:tc>
      </w:tr>
    </w:tbl>
    <w:p w14:paraId="1ACB513A" w14:textId="77777777" w:rsidR="00031770" w:rsidRPr="00283E4C" w:rsidRDefault="00031770" w:rsidP="000D7469">
      <w:pPr>
        <w:jc w:val="both"/>
        <w:rPr>
          <w:sz w:val="22"/>
          <w:szCs w:val="22"/>
        </w:rPr>
      </w:pPr>
    </w:p>
    <w:sectPr w:rsidR="00031770" w:rsidRPr="00283E4C" w:rsidSect="00091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70"/>
    <w:rsid w:val="00031770"/>
    <w:rsid w:val="00074647"/>
    <w:rsid w:val="00076E09"/>
    <w:rsid w:val="00091D81"/>
    <w:rsid w:val="000D28E7"/>
    <w:rsid w:val="000D7469"/>
    <w:rsid w:val="00152A35"/>
    <w:rsid w:val="001571AE"/>
    <w:rsid w:val="00160EA4"/>
    <w:rsid w:val="001B1D64"/>
    <w:rsid w:val="001C2B8E"/>
    <w:rsid w:val="001D7DE0"/>
    <w:rsid w:val="001E4A75"/>
    <w:rsid w:val="001E52AC"/>
    <w:rsid w:val="001F6C5D"/>
    <w:rsid w:val="00283E4C"/>
    <w:rsid w:val="00291BED"/>
    <w:rsid w:val="002F3ACE"/>
    <w:rsid w:val="00316B63"/>
    <w:rsid w:val="0039100C"/>
    <w:rsid w:val="003A32E3"/>
    <w:rsid w:val="004025FE"/>
    <w:rsid w:val="00477A3A"/>
    <w:rsid w:val="004927F8"/>
    <w:rsid w:val="004B4A18"/>
    <w:rsid w:val="00514854"/>
    <w:rsid w:val="00543008"/>
    <w:rsid w:val="005B3F1E"/>
    <w:rsid w:val="005B6165"/>
    <w:rsid w:val="006049FE"/>
    <w:rsid w:val="006310FE"/>
    <w:rsid w:val="00663218"/>
    <w:rsid w:val="006929D2"/>
    <w:rsid w:val="00696933"/>
    <w:rsid w:val="006C6F91"/>
    <w:rsid w:val="006E302B"/>
    <w:rsid w:val="00791D84"/>
    <w:rsid w:val="007F5482"/>
    <w:rsid w:val="008E2513"/>
    <w:rsid w:val="008F3935"/>
    <w:rsid w:val="00956ECE"/>
    <w:rsid w:val="0096708F"/>
    <w:rsid w:val="00A6282B"/>
    <w:rsid w:val="00A75204"/>
    <w:rsid w:val="00AE0CE1"/>
    <w:rsid w:val="00B920A4"/>
    <w:rsid w:val="00BD1257"/>
    <w:rsid w:val="00C40143"/>
    <w:rsid w:val="00C531D6"/>
    <w:rsid w:val="00C7030E"/>
    <w:rsid w:val="00CB72D3"/>
    <w:rsid w:val="00CC51A6"/>
    <w:rsid w:val="00D976D5"/>
    <w:rsid w:val="00DD5C01"/>
    <w:rsid w:val="00E34C50"/>
    <w:rsid w:val="00EC38C9"/>
    <w:rsid w:val="00EC3C2E"/>
    <w:rsid w:val="00F128A6"/>
    <w:rsid w:val="00F83F37"/>
    <w:rsid w:val="00F90232"/>
    <w:rsid w:val="00FC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FCEA"/>
  <w15:chartTrackingRefBased/>
  <w15:docId w15:val="{5EB70534-8135-42D0-8D8A-05B3F454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770"/>
    <w:rPr>
      <w:rFonts w:eastAsiaTheme="majorEastAsia" w:cstheme="majorBidi"/>
      <w:color w:val="272727" w:themeColor="text1" w:themeTint="D8"/>
    </w:rPr>
  </w:style>
  <w:style w:type="paragraph" w:styleId="Title">
    <w:name w:val="Title"/>
    <w:basedOn w:val="Normal"/>
    <w:next w:val="Normal"/>
    <w:link w:val="TitleChar"/>
    <w:uiPriority w:val="10"/>
    <w:qFormat/>
    <w:rsid w:val="00031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770"/>
    <w:pPr>
      <w:spacing w:before="160"/>
      <w:jc w:val="center"/>
    </w:pPr>
    <w:rPr>
      <w:i/>
      <w:iCs/>
      <w:color w:val="404040" w:themeColor="text1" w:themeTint="BF"/>
    </w:rPr>
  </w:style>
  <w:style w:type="character" w:customStyle="1" w:styleId="QuoteChar">
    <w:name w:val="Quote Char"/>
    <w:basedOn w:val="DefaultParagraphFont"/>
    <w:link w:val="Quote"/>
    <w:uiPriority w:val="29"/>
    <w:rsid w:val="00031770"/>
    <w:rPr>
      <w:i/>
      <w:iCs/>
      <w:color w:val="404040" w:themeColor="text1" w:themeTint="BF"/>
    </w:rPr>
  </w:style>
  <w:style w:type="paragraph" w:styleId="ListParagraph">
    <w:name w:val="List Paragraph"/>
    <w:basedOn w:val="Normal"/>
    <w:uiPriority w:val="34"/>
    <w:qFormat/>
    <w:rsid w:val="00031770"/>
    <w:pPr>
      <w:ind w:left="720"/>
      <w:contextualSpacing/>
    </w:pPr>
  </w:style>
  <w:style w:type="character" w:styleId="IntenseEmphasis">
    <w:name w:val="Intense Emphasis"/>
    <w:basedOn w:val="DefaultParagraphFont"/>
    <w:uiPriority w:val="21"/>
    <w:qFormat/>
    <w:rsid w:val="00031770"/>
    <w:rPr>
      <w:i/>
      <w:iCs/>
      <w:color w:val="0F4761" w:themeColor="accent1" w:themeShade="BF"/>
    </w:rPr>
  </w:style>
  <w:style w:type="paragraph" w:styleId="IntenseQuote">
    <w:name w:val="Intense Quote"/>
    <w:basedOn w:val="Normal"/>
    <w:next w:val="Normal"/>
    <w:link w:val="IntenseQuoteChar"/>
    <w:uiPriority w:val="30"/>
    <w:qFormat/>
    <w:rsid w:val="0003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770"/>
    <w:rPr>
      <w:i/>
      <w:iCs/>
      <w:color w:val="0F4761" w:themeColor="accent1" w:themeShade="BF"/>
    </w:rPr>
  </w:style>
  <w:style w:type="character" w:styleId="IntenseReference">
    <w:name w:val="Intense Reference"/>
    <w:basedOn w:val="DefaultParagraphFont"/>
    <w:uiPriority w:val="32"/>
    <w:qFormat/>
    <w:rsid w:val="00031770"/>
    <w:rPr>
      <w:b/>
      <w:bCs/>
      <w:smallCaps/>
      <w:color w:val="0F4761" w:themeColor="accent1" w:themeShade="BF"/>
      <w:spacing w:val="5"/>
    </w:rPr>
  </w:style>
  <w:style w:type="table" w:styleId="TableGrid">
    <w:name w:val="Table Grid"/>
    <w:basedOn w:val="TableNormal"/>
    <w:uiPriority w:val="39"/>
    <w:rsid w:val="0003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76D5"/>
    <w:rPr>
      <w:sz w:val="16"/>
      <w:szCs w:val="16"/>
    </w:rPr>
  </w:style>
  <w:style w:type="paragraph" w:styleId="CommentText">
    <w:name w:val="annotation text"/>
    <w:basedOn w:val="Normal"/>
    <w:link w:val="CommentTextChar"/>
    <w:uiPriority w:val="99"/>
    <w:unhideWhenUsed/>
    <w:rsid w:val="00D976D5"/>
    <w:pPr>
      <w:spacing w:line="240" w:lineRule="auto"/>
    </w:pPr>
    <w:rPr>
      <w:sz w:val="20"/>
      <w:szCs w:val="20"/>
    </w:rPr>
  </w:style>
  <w:style w:type="character" w:customStyle="1" w:styleId="CommentTextChar">
    <w:name w:val="Comment Text Char"/>
    <w:basedOn w:val="DefaultParagraphFont"/>
    <w:link w:val="CommentText"/>
    <w:uiPriority w:val="99"/>
    <w:rsid w:val="00D976D5"/>
    <w:rPr>
      <w:sz w:val="20"/>
      <w:szCs w:val="20"/>
    </w:rPr>
  </w:style>
  <w:style w:type="paragraph" w:styleId="CommentSubject">
    <w:name w:val="annotation subject"/>
    <w:basedOn w:val="CommentText"/>
    <w:next w:val="CommentText"/>
    <w:link w:val="CommentSubjectChar"/>
    <w:uiPriority w:val="99"/>
    <w:semiHidden/>
    <w:unhideWhenUsed/>
    <w:rsid w:val="00D976D5"/>
    <w:rPr>
      <w:b/>
      <w:bCs/>
    </w:rPr>
  </w:style>
  <w:style w:type="character" w:customStyle="1" w:styleId="CommentSubjectChar">
    <w:name w:val="Comment Subject Char"/>
    <w:basedOn w:val="CommentTextChar"/>
    <w:link w:val="CommentSubject"/>
    <w:uiPriority w:val="99"/>
    <w:semiHidden/>
    <w:rsid w:val="00D976D5"/>
    <w:rPr>
      <w:b/>
      <w:bCs/>
      <w:sz w:val="20"/>
      <w:szCs w:val="20"/>
    </w:rPr>
  </w:style>
  <w:style w:type="character" w:styleId="Hyperlink">
    <w:name w:val="Hyperlink"/>
    <w:basedOn w:val="DefaultParagraphFont"/>
    <w:uiPriority w:val="99"/>
    <w:unhideWhenUsed/>
    <w:rsid w:val="00D976D5"/>
    <w:rPr>
      <w:color w:val="467886" w:themeColor="hyperlink"/>
      <w:u w:val="single"/>
    </w:rPr>
  </w:style>
  <w:style w:type="character" w:customStyle="1" w:styleId="UnresolvedMention1">
    <w:name w:val="Unresolved Mention1"/>
    <w:basedOn w:val="DefaultParagraphFont"/>
    <w:uiPriority w:val="99"/>
    <w:semiHidden/>
    <w:unhideWhenUsed/>
    <w:rsid w:val="00D976D5"/>
    <w:rPr>
      <w:color w:val="605E5C"/>
      <w:shd w:val="clear" w:color="auto" w:fill="E1DFDD"/>
    </w:rPr>
  </w:style>
  <w:style w:type="paragraph" w:styleId="BalloonText">
    <w:name w:val="Balloon Text"/>
    <w:basedOn w:val="Normal"/>
    <w:link w:val="BalloonTextChar"/>
    <w:uiPriority w:val="99"/>
    <w:semiHidden/>
    <w:unhideWhenUsed/>
    <w:rsid w:val="00604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gov.github.io/CMCS-DSG-DSS-Certification/Outcomes%20and%20Metrics/Pharmacy%20Benefit%20Management%20%28PBM%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Kristina Hearn</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The Medicaid program needs a qualified technical solution to replace the current Medicaid Drug Rebate (MDR) system to facilitate the invoicing and collection of drug rebates from over 500 current drug labelers for the State of Nebraska. Migrating to a modernized, technically supported solution is critical for the continued operations of the drug rebate program, to continually generate a funding source for the Medicaid general fund as well as necessary to return proportional federal rebate dollars.</DocumentSetDescription>
    <Backup_x0020_Buyer xmlns="e3709f45-ee57-4ddf-8078-855eb8d761aa">61</Backup_x0020_Buyer>
    <Stakeholders xmlns="145fd85a-e86f-4392-ab15-fd3ffc15a3e1">
      <UserInfo>
        <DisplayName>Danny Vanourney</DisplayName>
        <AccountId>3123</AccountId>
        <AccountType/>
      </UserInfo>
      <UserInfo>
        <DisplayName>Lee Stutzman</DisplayName>
        <AccountId>27291</AccountId>
        <AccountType/>
      </UserInfo>
      <UserInfo>
        <DisplayName>Jeremy Brunssen</DisplayName>
        <AccountId>14437</AccountId>
        <AccountType/>
      </UserInfo>
      <UserInfo>
        <DisplayName>Nathaniel Bonilla</DisplayName>
        <AccountId>30088</AccountId>
        <AccountType/>
      </UserInfo>
    </Stakeholders>
    <Release_x0020_Date xmlns="145fd85a-e86f-4392-ab15-fd3ffc15a3e1" xsi:nil="true"/>
    <Est._x0020__x0024__x0020_Amount xmlns="145fd85a-e86f-4392-ab15-fd3ffc15a3e1">2300000</Est._x0020__x0024__x0020_Amount>
    <Date_x0020_sent_x0020_to_x0020_DAS xmlns="e3709f45-ee57-4ddf-8078-855eb8d761aa" xsi:nil="true"/>
    <Funding_x0020_Source xmlns="145fd85a-e86f-4392-ab15-fd3ffc15a3e1">state and federal funds</Funding_x0020_Source>
    <DAS_x0020_Buyer xmlns="145fd85a-e86f-4392-ab15-fd3ffc15a3e1" xsi:nil="true"/>
    <Bid_x0020_Type xmlns="145fd85a-e86f-4392-ab15-fd3ffc15a3e1">Draft RFP</Bid_x0020_Type>
    <RFP_x0020_Contacts xmlns="145fd85a-e86f-4392-ab15-fd3ffc15a3e1">
      <UserInfo>
        <DisplayName>Kristina Hearn</DisplayName>
        <AccountId>25191</AccountId>
        <AccountType/>
      </UserInfo>
      <UserInfo>
        <DisplayName>Ellen Vitztum</DisplayName>
        <AccountId>27118</AccountId>
        <AccountType/>
      </UserInfo>
      <UserInfo>
        <DisplayName>Lee Stutzman</DisplayName>
        <AccountId>27291</AccountId>
        <AccountType/>
      </UserInfo>
      <UserInfo>
        <DisplayName>Nathaniel Bonilla</DisplayName>
        <AccountId>30088</AccountId>
        <AccountType/>
      </UserInfo>
    </RFP_x0020_Contacts>
    <RoutingRuleDescription xmlns="http://schemas.microsoft.com/sharepoint/v3" xsi:nil="true"/>
    <Cost_x0020_Avoidance xmlns="145fd85a-e86f-4392-ab15-fd3ffc15a3e1" xsi:nil="true"/>
    <Target_x0020_Date xmlns="145fd85a-e86f-4392-ab15-fd3ffc15a3e1">2027-01-01T06:00:00+00:00</Target_x0020_Date>
    <Divisions xmlns="145fd85a-e86f-4392-ab15-fd3ffc15a3e1">
      <Value>MLTC</Value>
    </Divisions>
    <RFP_x0020_Status xmlns="145fd85a-e86f-4392-ab15-fd3ffc15a3e1">OK to Load</RFP_x0020_Status>
    <Attachments_x003f_ xmlns="145fd85a-e86f-4392-ab15-fd3ffc15a3e1">Yes, Final Document</Attachments_x003f_>
    <SPB_x0020_Processed xmlns="145fd85a-e86f-4392-ab15-fd3ffc15a3e1">Agency</SPB_x0020_Processed>
    <Cost_x0020_Avoidance_x0020_Method xmlns="145fd85a-e86f-4392-ab15-fd3ffc15a3e1" xsi:nil="true"/>
    <Lead_x0020_OPG_x0020_Contact xmlns="e3709f45-ee57-4ddf-8078-855eb8d761aa">78</Lead_x0020_OPG_x0020_Cont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5A11B-4229-4896-8CC7-A8E5DBBD0342}">
  <ds:schemaRefs>
    <ds:schemaRef ds:uri="http://purl.org/dc/terms/"/>
    <ds:schemaRef ds:uri="e3709f45-ee57-4ddf-8078-855eb8d761a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145fd85a-e86f-4392-ab15-fd3ffc15a3e1"/>
    <ds:schemaRef ds:uri="http://www.w3.org/XML/1998/namespace"/>
  </ds:schemaRefs>
</ds:datastoreItem>
</file>

<file path=customXml/itemProps2.xml><?xml version="1.0" encoding="utf-8"?>
<ds:datastoreItem xmlns:ds="http://schemas.openxmlformats.org/officeDocument/2006/customXml" ds:itemID="{FE533F18-4BF4-415A-867A-48BC9724B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2EDBA-3542-491D-976C-80F3177331AD}">
  <ds:schemaRefs>
    <ds:schemaRef ds:uri="http://schemas.microsoft.com/office/2006/metadata/customXsn"/>
  </ds:schemaRefs>
</ds:datastoreItem>
</file>

<file path=customXml/itemProps4.xml><?xml version="1.0" encoding="utf-8"?>
<ds:datastoreItem xmlns:ds="http://schemas.openxmlformats.org/officeDocument/2006/customXml" ds:itemID="{1883FEC7-B252-43B9-8EB2-150539DE9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2219</Characters>
  <Application>Microsoft Office Word</Application>
  <DocSecurity>0</DocSecurity>
  <Lines>110</Lines>
  <Paragraphs>77</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DAS Attachment E_no edits</dc:title>
  <dc:subject/>
  <dc:creator>Twehous, Diane</dc:creator>
  <cp:keywords/>
  <dc:description/>
  <cp:lastModifiedBy>Murphy, Bradley</cp:lastModifiedBy>
  <cp:revision>7</cp:revision>
  <cp:lastPrinted>2026-06-05T20:58:00Z</cp:lastPrinted>
  <dcterms:created xsi:type="dcterms:W3CDTF">2026-03-13T20:54:00Z</dcterms:created>
  <dcterms:modified xsi:type="dcterms:W3CDTF">2026-06-25T16:58:00Z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docset_NoMedatataSyncRequired">
    <vt:lpwstr>False</vt:lpwstr>
  </property>
</Properties>
</file>